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CodebookTitle"/>
      </w:pPr>
      <w:r>
        <w:t>AIGC</w:t>
      </w:r>
    </w:p>
    <w:p>
      <w:pPr>
        <w:pStyle w:val="FolderName"/>
      </w:pPr>
      <w:r>
        <w:t>代码</w:t>
      </w:r>
    </w:p>
    <w:p>
      <w:pPr>
        <w:pStyle w:val="FolderDescription"/>
      </w:pPr>
      <w:r>
        <w:t/>
      </w:r>
    </w:p>
    <w:tbl>
      <w:tblPr>
        <w:tblStyle w:val="NodesTable"/>
        <w:tblW w:w="5000" w:type="pct"/>
        <w:tblLook w:firstRow="true" w:lastRow="false" w:firstColumn="false" w:lastColumn="false" w:noHBand="false" w:noVBand="true"/>
      </w:tblPr>
      <w:tblGrid>
        <w:gridCol w:w="4186"/>
        <w:gridCol w:w="9767"/>
      </w:tblGrid>
      <w:tr>
        <w:trPr>
          <w:tblHeader/>
        </w:trPr>
        <w:tc>
          <w:tcPr>
            <w:tcW w:w="1500" w:type="pct"/>
            <w:shd w:val="clear" w:color="auto" w:fill="4472C4"/>
          </w:tcPr>
          <w:p>
            <w:pPr>
              <w:pStyle w:val="NodesTableHeader"/>
            </w:pPr>
            <w:r>
              <w:t>名称</w:t>
            </w:r>
          </w:p>
        </w:tc>
        <w:tc>
          <w:tcPr>
            <w:tcW w:w="3500" w:type="pct"/>
            <w:shd w:val="clear" w:color="auto" w:fill="4472C4"/>
          </w:tcPr>
          <w:p>
            <w:pPr>
              <w:pStyle w:val="NodesTableHeader"/>
            </w:pPr>
            <w:r>
              <w:t>说明</w:t>
            </w:r>
          </w:p>
        </w:tc>
      </w:tr>
      <w:tr>
        <w:tc>
          <w:tcPr>
            <w:tcW w:w="1500" w:type="pct"/>
          </w:tcPr>
          <w:p>
            <w:pPr>
              <w:ind w:left="0"/>
            </w:pPr>
            <w:r>
              <w:t>环境因素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技术普惠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降本增效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降本增效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普适普惠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普惠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平台便捷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平台便捷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快速测试想法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快速生产能力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0"/>
            </w:pPr>
            <w:r>
              <w:t>技术因素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工具理性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创作工具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创作工具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工具价值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辅助功能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帮助组织表达人类的想法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捕捉意图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促进创新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带来机会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分析数据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辅助创意生成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辅助构思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辅助思考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赋予静态文字以动态生命力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功能强大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技术支持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借鉴观点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进化能力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全能性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提高用户体验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完成工作任务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细化问题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学习能力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用户场景丰富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鲁棒性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缺乏稳定性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稳定性存在技术局限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协作创新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创意结合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打破协同边界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知识获取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帮助用户理解隐含信息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程式化写作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处理结构化内容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改变信息分发获取模式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改变知识获取方式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机械性工作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解决方案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破除信息孤岛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破除信息茧房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提高知识开放程度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提供参考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提供创新基础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提供即时的建议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提供解决方案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提供通识性、常态化内容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提供依据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完成程式化工作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完成重复性工作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一致的结构和规则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影响知识体系建构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硬性知识回答好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知识不熟悉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知识洞察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知识领域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知识搜索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知识整合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打破数字鸿沟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辅助整合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跨领域融合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知识增强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重塑创作内容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助推知识进化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价值理性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技术创造力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缺乏创造力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缺乏原创性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尊重原创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逻辑推理能力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逻辑固定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推理能力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无法理解逻辑思维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模仿行为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模仿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模拟人类的创造性思维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缺乏情感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不具备感性思维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没有思想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缺乏感受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缺乏价值理性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缺乏理解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缺乏判断力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缺乏情感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缺乏想象力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0"/>
            </w:pPr>
            <w:r>
              <w:t>内容因素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内容呈现特征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个性化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促进针对性创新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回答针对性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迎合用户需求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内容规模化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生成海量作品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信息过载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海量数据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800"/>
            </w:pPr>
            <w:r>
              <w:t>处理海量信息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800"/>
            </w:pPr>
            <w:r>
              <w:t>海量内容影响前链路的用户认知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800"/>
            </w:pPr>
            <w:r>
              <w:t>信息量更多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800"/>
            </w:pPr>
            <w:r>
              <w:t>知识泛滥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内容生产特征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内容产能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产能和成本限制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成本低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加快形成新质生产力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减少人力投入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智能的生成性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注入内容生产力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内容生产方式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不同于人的思考方式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改变创新模式和方法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改变内容生产流程和模式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满足场景需求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满足多样化需求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内容生产新范式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强交互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实现内容的初步加工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实现内容再创造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重构生产方式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重构生产力与生产关系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重塑人机交互方式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生产效率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创作效率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加速内容落地速度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节约时间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快速定位关键信息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提高创造力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提高内容生产能力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提高生产力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提高生产效率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生成质量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内容丰富度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多样化资源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泛知识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丰富内容创作呈现形态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丰富内容生态和供给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内容不精细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内容多模态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内容全面性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生成代码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文本创作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增加知识供应的丰富度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内容同质化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内容套路化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内容新颖性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独特视角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内容死板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使内容更具共鸣力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提高吸引力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内容质量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内容空洞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内容有价值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内容质量良莠不齐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弱化美学特征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深度不足、浮于表面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实用性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数据来源的质量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提高设计有效性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有效性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质量问题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内容专业性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欠缺专业性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内容准确性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人工智能幻觉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知识正确性问题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提示词质量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关键词引导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熟练使用提示词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助力搜索与需求的高度匹配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信息源特性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可溯源性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辨别内容困难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来源不明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内容审核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透明度和可解释性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验证困难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验证内容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信息源限制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数据落时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信息来源已存在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资料库限制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资料滞后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信息真实性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内容真实性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生成内容不可靠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失真问题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伪造数据集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伪造信息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信息难以查找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虚假信息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0"/>
            </w:pPr>
            <w:r>
              <w:t>异化结果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认知定式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思维定式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独立思考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个人思考能力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固化思维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束缚思维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阻碍思考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退化风险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技能萎缩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个人技能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提高能力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思想懈怠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个人思维惰性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过度依赖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依赖性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问题风险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道德伦理问题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科技伦理问题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没有道德知觉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认知偏见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产生歧视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公平性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内容客观性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知识产权问题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关注版权归属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0"/>
            </w:pPr>
            <w:r>
              <w:t>用户因素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创新特性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创新可能性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扩展思考范围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拓宽思路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拓展创新的广度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拓展创作边界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拓展创作空间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拓展想象力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探索更多可能性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提供广阔发展空间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创作重心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核心竞争力转变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回归创作本身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简化创造过程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聚焦核心业务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取代体力劳动式脑力劳动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释放核心生产力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释放精力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提供空间和时间深入思考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增加投入创新的精力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专注创新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专注提高自身创造力成为竞争优势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自由度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风险认知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感知风险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安全问题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诚信问题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侵权风险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使用规范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信任问题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隐私问题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意识形态风险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意识形态渗透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个体特征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个人创新意识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坚持创新性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平衡技术和自身创造力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守住创新原则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削弱用户对创新的重视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个人判断能力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不盲目接受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发现回答的不足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进行筛选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盲目相信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批判性思维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人工干预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个人专业素养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专业性的眼光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用户主体性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创新主动性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个人主观能动性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明确搜索目的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误导用户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引导思想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正确认识AI的基础上合理使用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主体合理应用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情绪状态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积极心态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心态积极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自信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更加自信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增强自信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450"/>
            </w:pPr>
            <w:r>
              <w:t>自我效能感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创作难度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创意瓶颈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创作灵感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降低技术门槛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降低检索难度和翻译压力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解决创意阻塞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解决语言类问题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克服创意枯竭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灵感闭塞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启发思维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提供想法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突破限制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消除创意障碍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900"/>
            </w:pPr>
            <w:r>
              <w:t>创作热情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  <w:tr>
        <w:tc>
          <w:tcPr>
            <w:tcW w:w="1500" w:type="pct"/>
          </w:tcPr>
          <w:p>
            <w:pPr>
              <w:ind w:left="1350"/>
            </w:pPr>
            <w:r>
              <w:t>激发探索欲</w:t>
            </w:r>
          </w:p>
        </w:tc>
        <w:tc>
          <w:tcPr>
            <w:tcW w:w="3500" w:type="pct"/>
          </w:tcPr>
          <w:p>
            <w:r>
              <w:t/>
            </w:r>
          </w:p>
        </w:tc>
      </w:tr>
    </w:tbl>
    <w:sectPr>
      <w:pgSz w:w="16834" w:h="11909" w:orient="landscape" w:code="9"/>
      <w:pgMar w:top="1440" w:right="1440" w:bottom="1440" w:left="1440"/>
      <w:footerReference w:type="default" r:id="R47a8715efa5540a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.xml><?xml version="1.0" encoding="utf-8"?>
<w:ftr xmlns:w="http://schemas.openxmlformats.org/wordprocessingml/2006/main">
  <w:p>
    <w:pPr>
      <w:pStyle w:val="Footer"/>
    </w:pPr>
    <w:r>
      <w:ptab w:alignment="left" w:relativeTo="margin" w:leader="none"/>
      <w:t xml:space="preserve">2024/5/16</w:t>
    </w:r>
    <w:r>
      <w:ptab w:alignment="right" w:relativeTo="margin" w:leader="none"/>
      <w:t xml:space="preserve">第 </w:t>
      <w:fldChar w:fldCharType="begin"/>
      <w:instrText xml:space="preserve"> PAGE </w:instrText>
      <w:fldChar w:fldCharType="end"/>
      <w:t xml:space="preserve"> 页，共 </w:t>
      <w:fldChar w:fldCharType="begin"/>
      <w:instrText xml:space="preserve"> NUMPAGES </w:instrText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482"/>
    <w:rsid w:val="00396A39"/>
    <w:rsid w:val="005754D0"/>
    <w:rsid w:val="00A47467"/>
    <w:rsid w:val="00B34482"/>
    <w:rsid w:val="00B70289"/>
    <w:rsid w:val="00C0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hAnsi="Times New Roman" w:cs="Times New Roman" w:asciiTheme="minorHAnsi" w:eastAsiaTheme="minorEastAsia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odebookTitle" w:customStyle="true">
    <w:name w:val="Codebook Title"/>
    <w:pPr>
      <w:jc w:val="center"/>
    </w:pPr>
    <w:rPr>
      <w:rFonts w:asciiTheme="majorHAnsi" w:hAnsiTheme="majorHAnsi" w:eastAsiaTheme="majorEastAsia" w:cstheme="majorBidi"/>
      <w:color w:val="5B9BD5"/>
      <w:sz w:val="48"/>
      <w:szCs w:val="48"/>
    </w:rPr>
  </w:style>
  <w:style w:type="paragraph" w:styleId="FolderName">
    <w:name w:val="Folder Name"/>
    <w:basedOn w:val="Heading1"/>
    <w:next w:val="FolderDescription"/>
    <w:qFormat/>
    <w:pPr>
      <w:keepNext/>
      <w:keepLines/>
      <w:outlineLvl w:val="0"/>
      <w:spacing w:before="240" w:after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FolderDescription">
    <w:name w:val="Folder Description"/>
    <w:basedOn w:val="Normal"/>
    <w:qFormat/>
    <w:pPr>
      <w:keepNext/>
      <w:keepLines/>
    </w:pPr>
    <w:rPr>
      <w:rFonts w:asciiTheme="majorHAnsi" w:hAnsiTheme="majorHAnsi" w:eastAsiaTheme="majorEastAsia" w:cstheme="majorBidi"/>
    </w:rPr>
  </w:style>
  <w:style w:type="paragraph" w:styleId="NodesTableHeader" w:customStyle="true">
    <w:name w:val="Table Header"/>
    <w:rPr>
      <w:rFonts w:asciiTheme="majorHAnsi" w:hAnsiTheme="majorHAnsi" w:eastAsiaTheme="majorEastAsia" w:cstheme="majorBidi"/>
      <w:color w:val="FFFFFF"/>
    </w:rPr>
  </w:style>
  <w:style w:type="paragraph" w:styleId="RightAlign" w:customStyle="true">
    <w:name w:val="Right Align"/>
    <w:basedOn w:val="Normal"/>
    <w:pPr>
      <w:jc w:val="right"/>
    </w:pPr>
  </w:style>
  <w:style w:type="table" w:styleId="NodesTable" w:customStyle="true">
    <w:name w:val="Nodes Table"/>
    <w:tblPr>
      <w:tblStyleRow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top w:w="108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nil"/>
          <w:bottom w:val="nil"/>
          <w:right w:val="single" w:color="FFFFFF" w:sz="4" w:space="0"/>
          <w:insideH w:val="nil"/>
          <w:insideV w:val="nil"/>
        </w:tcBorders>
        <w:shd w:val="clear" w:color="auto" w:fill="4472C4"/>
      </w:tcPr>
    </w:tblStylePr>
    <w:tblStylePr w:type="band1Horz">
      <w:tblPr/>
      <w:tcPr>
        <w:shd w:val="clear" w:color="auto" w:fill="B4C6E7"/>
      </w:tcPr>
    </w:tblStylePr>
    <w:tblStylePr w:type="band2Horz">
      <w:tblPr/>
      <w:tcPr>
        <w:shd w:val="clear" w:color="auto" w:fill="D9E2F3"/>
      </w:tcPr>
    </w:tblStylePr>
  </w:style>
  <w:style w:type="paragraph" w:styleId="Footer" w:customStyle="true">
    <w:name w:val="Footer"/>
    <w:basedOn w:val="Normal"/>
    <w:rPr>
      <w:rFonts w:asciiTheme="majorHAnsi" w:hAnsiTheme="majorHAnsi" w:eastAsiaTheme="majorEastAsia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footer" Target="/word/footer.xml" Id="R47a8715efa5540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ap="http://schemas.openxmlformats.org/officeDocument/2006/extended-properties"/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/>
  <lastModifiedBy/>
  <revision>1</revision>
  <dcterms:created xsi:type="dcterms:W3CDTF">2024-05-16T11:47:25.6022206Z</dcterms:created>
  <dcterms:modified xsi:type="dcterms:W3CDTF">2024-05-16T11:47:25.6022206Z</dcterms:modified>
</coreProperties>
</file>